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106</w:t>
      </w:r>
    </w:p>
    <w:p>
      <w:r>
        <w:t>Bundesgericht (BGE), 2003-11-07, FR</w:t>
      </w:r>
    </w:p>
    <w:p>
      <w:r>
        <w:rPr>
          <w:b/>
        </w:rPr>
        <w:t xml:space="preserve">Quelle: </w:t>
      </w:r>
      <w:r>
        <w:t>https://mcp.opencaselaw.ch/entscheid/bge_130 IV 106</w:t>
      </w:r>
    </w:p>
    <w:p>
      <w:r>
        <w:t>FR: ATF 130 IV 106</w:t>
      </w:r>
    </w:p>
    <w:p>
      <w:r>
        <w:t>IT: DTF 130 IV 106</w:t>
      </w:r>
    </w:p>
    <w:p>
      <w:pPr>
        <w:pStyle w:val="Heading2"/>
      </w:pPr>
      <w:r>
        <w:t>Regeste</w:t>
      </w:r>
    </w:p>
    <w:p>
      <w:r>
        <w:t>Regeste Art. 157 StGB; Wucher. Fall einer ghanesischen Staatsangehörigen, die von einem Landsmann als Hausangestellte in die Schweiz geholt wurde. Der Arbeitgeber nützte die Unerfahrenheit der Hausangestellten aus und verlangte von ihr einen wöchentlichen Arbeitseinsatz von 50 Stunden gegen eine Entschädigung von 300 Franken pro Monat sowie Kost und Logis. Voraussetzungen für die Annahme von Wucher erfüllt (E. 7).</w:t>
      </w:r>
    </w:p>
    <w:p>
      <w:pPr>
        <w:pStyle w:val="Heading2"/>
      </w:pPr>
      <w:r>
        <w:t>Erwägungen</w:t>
      </w:r>
    </w:p>
    <w:p>
      <w:r>
        <w:rPr>
          <w:b/>
        </w:rPr>
        <w:t>E. 7</w:t>
      </w:r>
    </w:p>
    <w:p>
      <w:r>
        <w:t>Le recourant se plaint d'une violation de l' art. 157 CP .</w:t>
      </w:r>
    </w:p>
    <w:p>
      <w:r>
        <w:rPr>
          <w:b/>
        </w:rPr>
        <w:t>E. 7.1</w:t>
      </w:r>
    </w:p>
    <w:p>
      <w:r>
        <w:t>De manière répétée, le recourant introduit des faits non constatés en instance cantonale ou discute et met en cause les faits retenus. L'argumentation qu'il présente est ainsi très largement irrecevable.</w:t>
      </w:r>
    </w:p>
    <w:p>
      <w:r>
        <w:rPr>
          <w:b/>
        </w:rPr>
        <w:t>E. 7.2</w:t>
      </w:r>
    </w:p>
    <w:p>
      <w:r>
        <w:t>Sous la note marginale "usure", l' art. 157 ch. 1 CP punit de la réclusion pour cinq ans au plus ou de l'emprisonnement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consiste à obtenir ou à se faire promettre une contre-prestation disproportionnée en exploitant la faiblesse de l'autre BGE 130 IV 106 S. 109 partie ( ATF 111 IV 139 consid. 3a p. 140/141). Selon le texte légal, l'auteur doit obtenir l'avantage patrimonial "en échange d'une prestation". L'usure ne peut donc intervenir que dans le cadre d'un contrat onéreux ( ATF 111 IV 139 consid. 3c p. 142). L'avantage pécuniaire obtenu doit être en disproportion évidente, sur le plan économique, avec la prestation fournie. L'évaluation doit être objective (cf. BERNARD Corboz, Les infractions en droit suisse, vol. I, Berne 2002, art. 157 CP n. 31 et 32). L'infraction est intentionnelle. Le dol éventuel suffit. Il faut donc que l'auteur sache, au moins sous la forme du dol éventuel, que l'autre partie se trouve dans une situation de faiblesse. Il doit également connaître, au moins sous la forme du dol éventuel, la disproportion entre les prestations. Enfin, il doit avoir conscience, au moins sous la forme du dol éventuel, que la situation de faiblesse motive l'autre partie à accepter la disproportion évidente entre les prestations (cf. CORBOZ, op. cit., art. 157 CP n. 45 ss).</w:t>
      </w:r>
    </w:p>
    <w:p>
      <w:r>
        <w:rPr>
          <w:b/>
        </w:rPr>
        <w:t>E. 7.3</w:t>
      </w:r>
    </w:p>
    <w:p>
      <w:r>
        <w:t>Le recourant conteste tout d'abord que l'intimée se soit trouvée en situation de faiblesse. Pour la Chambre pénale, l'intimée réalisait plusieurs des situations de faiblesse (gêne, dépendance, inexpérience) décrites à l' art. 157 CP . En ce qui concerne plus spécifiquement l'inexpérience, il doit s'agir d'une inexpérience générale se rapportant au domaine des affaires et non pas d'une inexpérience relative au contrat en cause (cf. CORBOZ, op. cit., art. 157 CP n. 21; JOSÉ HURTADO POZO, Partie spéciale I, 3 e éd., Zurich 1997, § 49 n. 1222; STEFAN TRECHSEL, Kurzkommentar, 2 e éd., Zurich 1997, art. 157 CP n. 3; PHILIPPE WEISSENBERGER, Basler Kommentar, Strafgesetzbuch II, 2003, art. 157 CP n. 13). La Chambre pénale a indiqué que l'intimée était âgée de vingt-deux ans au moment de venir en Suisse et qu'elle n'avait jamais quitté son pays natal; qu'elle n'était pas en mesure de réaliser que son travail méritait un salaire pour avoir auparavant travaillé durant deux ans pour son oncle sans être payée. Sur la base de ces constatations, il apparaît donc que l'intimée méconnaissait totalement le domaine des relations de travail en droit suisse et son droit à être rémunérée. Aussi, est-ce à bon escient que la Chambre pénale a conclu à l'inexpérience de l'intimée. La situation de faiblesse étant réalisée pour ce motif, il n'est pas nécessaire d'examiner si elle l'est également pour d'autres raisons car celles-ci ne pourraient qu'avoir une BGE 130 IV 106 S. 110 incidence sur la peine (cf. CORBOZ, op. cit., art. 157 CP n. 10), que le recourant ne critique pas en tant que telle.</w:t>
      </w:r>
    </w:p>
    <w:p>
      <w:r>
        <w:rPr>
          <w:b/>
        </w:rPr>
        <w:t>E. 7.4</w:t>
      </w:r>
    </w:p>
    <w:p>
      <w:r>
        <w:t>Le recourant prétend n'avoir pas obtenu d'avantage pécuniaire, met en cause l'existence d'une disproportion évidente entre les prestations et nie avoir exploité la faiblesse de l'intimée pour obtenir d'elle une prestation disproportionnée. L'intimée travaillait 50 heures par semaine dans le ménage du recourant. En contrepartie, elle était logée, nourrie et, dès juin 1998, a touché 300 francs par mois à titre de salaire. Le contrat signé le 8 avril 1997 prévoyait une rémunération mensuelle de 1'527 fr. 50 en sus du logement et de la nourriture. L'intimée n'a pas lu ce contrat et ignorait son droit à une rémunération. Il est incontestable que l'intimée a fourni une prestation qui représente une valeur économique. De la sorte, le recourant a obtenu un avantage pécuniaire. En soi, il est vrai que le contrat signé le 8 avril 1997, qui prévoit pour l'intimée une rémunération de 1'527 fr. 50 en sus du logement et de la nourriture, n'apparaît pas usuraire. Toutefois, le Tribunal de police a mentionné que le recourant y avait dérogé unilatéralement en sachant que l'intimée ne protesterait pas. Il ressort en outre des constatations cantonales que l'intimée ne réalisait pas la portée du document signé. Autrement dit, le recourant a obtenu d'elle qu'elle travaille pour lui à d'autres conditions que celles auxquelles il s'était initialement engagé par écrit. Il s'est ainsi fait accorder un avantage pécuniaire en parvenant à modifier l'équilibre contractuel. C'est cette modification du contrat de travail qui est pertinente pour l'application de l' art. 157 CP . Il saute aux yeux que l'avantage retiré par le recourant est largement disproportionné, sur le plan économique, avec la prestation qu'il a concrètement fournie en échange. Il faut aussi reconnaître que c'est en exploitant l'inexpérience de l'intimée qu'il a pu obtenir un tel avantage. Les critiques du recourant sont infondées dans la mesure où elles sont recevables.</w:t>
      </w:r>
    </w:p>
    <w:p>
      <w:r>
        <w:rPr>
          <w:b/>
        </w:rPr>
        <w:t>E. 7.5</w:t>
      </w:r>
    </w:p>
    <w:p>
      <w:r>
        <w:t>Le recourant s'en prend encore à la réalisation de l'élément subjectif de l'infraction. Selon les constatations cantonales, le recourant savait que l'intimée ne protesterait pas face à l'exploitation, raison pour laquelle il a abusé de cette situation. Il savait aussi que le travail fourni par l'intimée méritait un salaire. Il en découle que le recourant, à tout le moins, a envisagé et accepté que l'état de faiblesse de l'intimée soit BGE 130 IV 106 S. 111 à l'origine de sa soumission aux conditions de travail imposées. L'élément intentionnel est réalisé.</w:t>
      </w:r>
    </w:p>
    <w:p>
      <w:r>
        <w:rPr>
          <w:b/>
        </w:rPr>
        <w:t>E. 7.6</w:t>
      </w:r>
    </w:p>
    <w:p>
      <w:r>
        <w:t>En conclusion, la condamnation du recourant en vertu de l' art. 157 ch. 1 CP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